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05F3" w:rsidRPr="008605F3" w:rsidRDefault="008605F3" w:rsidP="008605F3">
      <w:pPr>
        <w:spacing w:line="480" w:lineRule="auto"/>
        <w:jc w:val="center"/>
        <w:rPr>
          <w:rFonts w:ascii="Times New Roman" w:hAnsi="Times New Roman" w:cs="Times New Roman"/>
          <w:sz w:val="24"/>
          <w:szCs w:val="24"/>
        </w:rPr>
      </w:pPr>
    </w:p>
    <w:p w:rsidR="008605F3" w:rsidRPr="008605F3" w:rsidRDefault="008605F3" w:rsidP="008605F3">
      <w:pPr>
        <w:spacing w:line="480" w:lineRule="auto"/>
        <w:jc w:val="center"/>
        <w:rPr>
          <w:rFonts w:ascii="Times New Roman" w:hAnsi="Times New Roman" w:cs="Times New Roman"/>
          <w:sz w:val="24"/>
          <w:szCs w:val="24"/>
        </w:rPr>
      </w:pPr>
    </w:p>
    <w:p w:rsidR="008605F3" w:rsidRPr="008605F3" w:rsidRDefault="008605F3" w:rsidP="008605F3">
      <w:pPr>
        <w:spacing w:line="480" w:lineRule="auto"/>
        <w:jc w:val="center"/>
        <w:rPr>
          <w:rFonts w:ascii="Times New Roman" w:hAnsi="Times New Roman" w:cs="Times New Roman"/>
          <w:sz w:val="24"/>
          <w:szCs w:val="24"/>
        </w:rPr>
      </w:pPr>
    </w:p>
    <w:p w:rsidR="008605F3" w:rsidRPr="008605F3" w:rsidRDefault="008605F3" w:rsidP="008605F3">
      <w:pPr>
        <w:spacing w:line="480" w:lineRule="auto"/>
        <w:jc w:val="center"/>
        <w:rPr>
          <w:rFonts w:ascii="Times New Roman" w:hAnsi="Times New Roman" w:cs="Times New Roman"/>
          <w:sz w:val="24"/>
          <w:szCs w:val="24"/>
        </w:rPr>
      </w:pPr>
    </w:p>
    <w:p w:rsidR="008605F3" w:rsidRPr="008605F3" w:rsidRDefault="008605F3" w:rsidP="008605F3">
      <w:pPr>
        <w:spacing w:line="480" w:lineRule="auto"/>
        <w:jc w:val="center"/>
        <w:rPr>
          <w:rFonts w:ascii="Times New Roman" w:hAnsi="Times New Roman" w:cs="Times New Roman"/>
          <w:sz w:val="24"/>
          <w:szCs w:val="24"/>
        </w:rPr>
      </w:pPr>
    </w:p>
    <w:p w:rsidR="008605F3" w:rsidRPr="008605F3" w:rsidRDefault="008605F3" w:rsidP="008605F3">
      <w:pPr>
        <w:spacing w:line="480" w:lineRule="auto"/>
        <w:jc w:val="center"/>
        <w:rPr>
          <w:rFonts w:ascii="Times New Roman" w:hAnsi="Times New Roman" w:cs="Times New Roman"/>
          <w:sz w:val="24"/>
          <w:szCs w:val="24"/>
        </w:rPr>
      </w:pPr>
    </w:p>
    <w:p w:rsidR="008605F3" w:rsidRPr="008605F3" w:rsidRDefault="008605F3" w:rsidP="008605F3">
      <w:pPr>
        <w:spacing w:line="480" w:lineRule="auto"/>
        <w:jc w:val="center"/>
        <w:rPr>
          <w:rFonts w:ascii="Times New Roman" w:hAnsi="Times New Roman" w:cs="Times New Roman"/>
          <w:sz w:val="24"/>
          <w:szCs w:val="24"/>
        </w:rPr>
      </w:pPr>
    </w:p>
    <w:p w:rsidR="005E041B" w:rsidRPr="008605F3" w:rsidRDefault="005E041B" w:rsidP="008605F3">
      <w:pPr>
        <w:spacing w:line="480" w:lineRule="auto"/>
        <w:jc w:val="center"/>
        <w:rPr>
          <w:rFonts w:ascii="Times New Roman" w:hAnsi="Times New Roman" w:cs="Times New Roman"/>
          <w:sz w:val="24"/>
          <w:szCs w:val="24"/>
        </w:rPr>
      </w:pPr>
      <w:r w:rsidRPr="008605F3">
        <w:rPr>
          <w:rFonts w:ascii="Times New Roman" w:hAnsi="Times New Roman" w:cs="Times New Roman"/>
          <w:sz w:val="24"/>
          <w:szCs w:val="24"/>
        </w:rPr>
        <w:t>The Impacts of Healthy Food Vouchers</w:t>
      </w:r>
    </w:p>
    <w:p w:rsidR="008605F3" w:rsidRPr="008605F3" w:rsidRDefault="008605F3" w:rsidP="008605F3">
      <w:pPr>
        <w:spacing w:line="480" w:lineRule="auto"/>
        <w:jc w:val="center"/>
        <w:rPr>
          <w:rFonts w:ascii="Times New Roman" w:hAnsi="Times New Roman" w:cs="Times New Roman"/>
          <w:sz w:val="24"/>
          <w:szCs w:val="24"/>
        </w:rPr>
      </w:pPr>
      <w:r w:rsidRPr="008605F3">
        <w:rPr>
          <w:rFonts w:ascii="Times New Roman" w:hAnsi="Times New Roman" w:cs="Times New Roman"/>
          <w:sz w:val="24"/>
          <w:szCs w:val="24"/>
        </w:rPr>
        <w:t>Name</w:t>
      </w:r>
    </w:p>
    <w:p w:rsidR="008605F3" w:rsidRPr="008605F3" w:rsidRDefault="008605F3" w:rsidP="008605F3">
      <w:pPr>
        <w:spacing w:line="480" w:lineRule="auto"/>
        <w:jc w:val="center"/>
        <w:rPr>
          <w:rFonts w:ascii="Times New Roman" w:hAnsi="Times New Roman" w:cs="Times New Roman"/>
          <w:sz w:val="24"/>
          <w:szCs w:val="24"/>
        </w:rPr>
      </w:pPr>
      <w:r w:rsidRPr="008605F3">
        <w:rPr>
          <w:rFonts w:ascii="Times New Roman" w:hAnsi="Times New Roman" w:cs="Times New Roman"/>
          <w:sz w:val="24"/>
          <w:szCs w:val="24"/>
        </w:rPr>
        <w:t>Institution</w:t>
      </w:r>
    </w:p>
    <w:p w:rsidR="008605F3" w:rsidRPr="008605F3" w:rsidRDefault="008605F3" w:rsidP="008605F3">
      <w:pPr>
        <w:spacing w:line="480" w:lineRule="auto"/>
        <w:jc w:val="center"/>
        <w:rPr>
          <w:rFonts w:ascii="Times New Roman" w:hAnsi="Times New Roman" w:cs="Times New Roman"/>
          <w:sz w:val="24"/>
          <w:szCs w:val="24"/>
        </w:rPr>
      </w:pPr>
      <w:r w:rsidRPr="008605F3">
        <w:rPr>
          <w:rFonts w:ascii="Times New Roman" w:hAnsi="Times New Roman" w:cs="Times New Roman"/>
          <w:sz w:val="24"/>
          <w:szCs w:val="24"/>
        </w:rPr>
        <w:t>Date</w:t>
      </w:r>
    </w:p>
    <w:p w:rsidR="008605F3" w:rsidRPr="008605F3" w:rsidRDefault="008605F3" w:rsidP="008605F3">
      <w:pPr>
        <w:spacing w:line="480" w:lineRule="auto"/>
        <w:jc w:val="center"/>
        <w:rPr>
          <w:rFonts w:ascii="Times New Roman" w:hAnsi="Times New Roman" w:cs="Times New Roman"/>
          <w:sz w:val="24"/>
          <w:szCs w:val="24"/>
        </w:rPr>
      </w:pPr>
    </w:p>
    <w:p w:rsidR="008605F3" w:rsidRPr="008605F3" w:rsidRDefault="008605F3" w:rsidP="008605F3">
      <w:pPr>
        <w:spacing w:line="480" w:lineRule="auto"/>
        <w:jc w:val="center"/>
        <w:rPr>
          <w:rFonts w:ascii="Times New Roman" w:hAnsi="Times New Roman" w:cs="Times New Roman"/>
          <w:sz w:val="24"/>
          <w:szCs w:val="24"/>
        </w:rPr>
      </w:pPr>
    </w:p>
    <w:p w:rsidR="008605F3" w:rsidRPr="008605F3" w:rsidRDefault="008605F3" w:rsidP="008605F3">
      <w:pPr>
        <w:spacing w:line="480" w:lineRule="auto"/>
        <w:jc w:val="center"/>
        <w:rPr>
          <w:rFonts w:ascii="Times New Roman" w:hAnsi="Times New Roman" w:cs="Times New Roman"/>
          <w:sz w:val="24"/>
          <w:szCs w:val="24"/>
        </w:rPr>
      </w:pPr>
    </w:p>
    <w:p w:rsidR="008605F3" w:rsidRPr="008605F3" w:rsidRDefault="008605F3" w:rsidP="008605F3">
      <w:pPr>
        <w:spacing w:line="480" w:lineRule="auto"/>
        <w:jc w:val="center"/>
        <w:rPr>
          <w:rFonts w:ascii="Times New Roman" w:hAnsi="Times New Roman" w:cs="Times New Roman"/>
          <w:sz w:val="24"/>
          <w:szCs w:val="24"/>
        </w:rPr>
      </w:pPr>
    </w:p>
    <w:p w:rsidR="008605F3" w:rsidRPr="008605F3" w:rsidRDefault="008605F3" w:rsidP="008605F3">
      <w:pPr>
        <w:spacing w:line="480" w:lineRule="auto"/>
        <w:jc w:val="center"/>
        <w:rPr>
          <w:rFonts w:ascii="Times New Roman" w:hAnsi="Times New Roman" w:cs="Times New Roman"/>
          <w:sz w:val="24"/>
          <w:szCs w:val="24"/>
        </w:rPr>
      </w:pPr>
    </w:p>
    <w:p w:rsidR="008605F3" w:rsidRPr="008605F3" w:rsidRDefault="008605F3" w:rsidP="008605F3">
      <w:pPr>
        <w:spacing w:line="480" w:lineRule="auto"/>
        <w:jc w:val="center"/>
        <w:rPr>
          <w:rFonts w:ascii="Times New Roman" w:hAnsi="Times New Roman" w:cs="Times New Roman"/>
          <w:sz w:val="24"/>
          <w:szCs w:val="24"/>
        </w:rPr>
      </w:pPr>
    </w:p>
    <w:p w:rsidR="008605F3" w:rsidRPr="008605F3" w:rsidRDefault="008605F3" w:rsidP="008605F3">
      <w:pPr>
        <w:spacing w:line="480" w:lineRule="auto"/>
        <w:jc w:val="center"/>
        <w:rPr>
          <w:rFonts w:ascii="Times New Roman" w:hAnsi="Times New Roman" w:cs="Times New Roman"/>
          <w:sz w:val="24"/>
          <w:szCs w:val="24"/>
        </w:rPr>
      </w:pPr>
    </w:p>
    <w:p w:rsidR="008605F3" w:rsidRPr="008605F3" w:rsidRDefault="008605F3" w:rsidP="008605F3">
      <w:pPr>
        <w:spacing w:line="480" w:lineRule="auto"/>
        <w:jc w:val="center"/>
        <w:rPr>
          <w:rFonts w:ascii="Times New Roman" w:hAnsi="Times New Roman" w:cs="Times New Roman"/>
          <w:b/>
          <w:sz w:val="24"/>
          <w:szCs w:val="24"/>
        </w:rPr>
      </w:pPr>
      <w:r w:rsidRPr="008605F3">
        <w:rPr>
          <w:rFonts w:ascii="Times New Roman" w:hAnsi="Times New Roman" w:cs="Times New Roman"/>
          <w:b/>
          <w:sz w:val="24"/>
          <w:szCs w:val="24"/>
        </w:rPr>
        <w:lastRenderedPageBreak/>
        <w:t>The Impacts of Healthy Food Vouchers</w:t>
      </w:r>
    </w:p>
    <w:p w:rsidR="005E041B" w:rsidRPr="008605F3" w:rsidRDefault="005E041B" w:rsidP="008605F3">
      <w:pPr>
        <w:spacing w:line="480" w:lineRule="auto"/>
        <w:ind w:firstLine="720"/>
        <w:rPr>
          <w:rFonts w:ascii="Times New Roman" w:hAnsi="Times New Roman" w:cs="Times New Roman"/>
          <w:sz w:val="24"/>
          <w:szCs w:val="24"/>
        </w:rPr>
      </w:pPr>
      <w:r w:rsidRPr="008605F3">
        <w:rPr>
          <w:rFonts w:ascii="Times New Roman" w:hAnsi="Times New Roman" w:cs="Times New Roman"/>
          <w:sz w:val="24"/>
          <w:szCs w:val="24"/>
        </w:rPr>
        <w:t xml:space="preserve">The </w:t>
      </w:r>
      <w:r w:rsidR="008605F3">
        <w:rPr>
          <w:rFonts w:ascii="Times New Roman" w:hAnsi="Times New Roman" w:cs="Times New Roman"/>
          <w:sz w:val="24"/>
          <w:szCs w:val="24"/>
        </w:rPr>
        <w:t>importance of macroeconomic practices can</w:t>
      </w:r>
      <w:r w:rsidR="008605F3" w:rsidRPr="008605F3">
        <w:rPr>
          <w:rFonts w:ascii="Times New Roman" w:hAnsi="Times New Roman" w:cs="Times New Roman"/>
          <w:sz w:val="24"/>
          <w:szCs w:val="24"/>
        </w:rPr>
        <w:t xml:space="preserve"> never</w:t>
      </w:r>
      <w:r w:rsidRPr="008605F3">
        <w:rPr>
          <w:rFonts w:ascii="Times New Roman" w:hAnsi="Times New Roman" w:cs="Times New Roman"/>
          <w:sz w:val="24"/>
          <w:szCs w:val="24"/>
        </w:rPr>
        <w:t xml:space="preserve"> be overlooked in contemporary economies. The field is featured with varied and promising models, vital analytical tools intended to illustrate the operation of the challenges of an economy of a country; hence the economy of the United Kingdom is not exceptional. Contemporary studies describe that macroeconomic models are effective in analyzing the dynamics of aggregate quantities and comparative statics. These models effectively examine the total income earned, level of prices, the total amount of goods and services produced, and the level of employment of key productive resources. From a logical perspective, every macroeconomic model meets a purpose and has different benefits and bottlenecks. They are used to shed light on different ‘what if’ scenarios, and they may be applied to generate economic forecasts, thus gaining relevance in academia and economics.  This paper provides a </w:t>
      </w:r>
      <w:r w:rsidR="008605F3" w:rsidRPr="008605F3">
        <w:rPr>
          <w:rFonts w:ascii="Times New Roman" w:hAnsi="Times New Roman" w:cs="Times New Roman"/>
          <w:sz w:val="24"/>
          <w:szCs w:val="24"/>
        </w:rPr>
        <w:t>vigilant</w:t>
      </w:r>
      <w:r w:rsidRPr="008605F3">
        <w:rPr>
          <w:rFonts w:ascii="Times New Roman" w:hAnsi="Times New Roman" w:cs="Times New Roman"/>
          <w:sz w:val="24"/>
          <w:szCs w:val="24"/>
        </w:rPr>
        <w:t xml:space="preserve"> analysis of the impacts of healthy food vouchers on spending among pregnant women as a subset of recipient households with an accurate reflection of the recommended credible academic sources.</w:t>
      </w:r>
    </w:p>
    <w:p w:rsidR="005E041B" w:rsidRPr="008605F3" w:rsidRDefault="005E041B" w:rsidP="008605F3">
      <w:pPr>
        <w:spacing w:line="480" w:lineRule="auto"/>
        <w:ind w:firstLine="720"/>
        <w:rPr>
          <w:rFonts w:ascii="Times New Roman" w:hAnsi="Times New Roman" w:cs="Times New Roman"/>
          <w:sz w:val="24"/>
          <w:szCs w:val="24"/>
        </w:rPr>
      </w:pPr>
      <w:r w:rsidRPr="008605F3">
        <w:rPr>
          <w:rFonts w:ascii="Times New Roman" w:hAnsi="Times New Roman" w:cs="Times New Roman"/>
          <w:sz w:val="24"/>
          <w:szCs w:val="24"/>
        </w:rPr>
        <w:t xml:space="preserve">Healthy start vouchers have actively impacted the </w:t>
      </w:r>
      <w:r w:rsidR="008605F3">
        <w:rPr>
          <w:rFonts w:ascii="Times New Roman" w:hAnsi="Times New Roman" w:cs="Times New Roman"/>
          <w:sz w:val="24"/>
          <w:szCs w:val="24"/>
        </w:rPr>
        <w:t>spending habits</w:t>
      </w:r>
      <w:r w:rsidRPr="008605F3">
        <w:rPr>
          <w:rFonts w:ascii="Times New Roman" w:hAnsi="Times New Roman" w:cs="Times New Roman"/>
          <w:sz w:val="24"/>
          <w:szCs w:val="24"/>
        </w:rPr>
        <w:t xml:space="preserve"> of pregnant women in the context of the UK. In essence, the </w:t>
      </w:r>
      <w:r w:rsidR="008605F3">
        <w:rPr>
          <w:rFonts w:ascii="Times New Roman" w:hAnsi="Times New Roman" w:cs="Times New Roman"/>
          <w:sz w:val="24"/>
          <w:szCs w:val="24"/>
        </w:rPr>
        <w:t xml:space="preserve">scheme offers free vouchers to the targeted recipients households, </w:t>
      </w:r>
      <w:r w:rsidRPr="008605F3">
        <w:rPr>
          <w:rFonts w:ascii="Times New Roman" w:hAnsi="Times New Roman" w:cs="Times New Roman"/>
          <w:sz w:val="24"/>
          <w:szCs w:val="24"/>
        </w:rPr>
        <w:t xml:space="preserve">entitled to adequately spend on infant formula and fresh fruits and </w:t>
      </w:r>
      <w:r w:rsidR="008605F3" w:rsidRPr="008605F3">
        <w:rPr>
          <w:rFonts w:ascii="Times New Roman" w:hAnsi="Times New Roman" w:cs="Times New Roman"/>
          <w:sz w:val="24"/>
          <w:szCs w:val="24"/>
        </w:rPr>
        <w:t>vegetables (</w:t>
      </w:r>
      <w:r w:rsidR="008605F3" w:rsidRPr="008605F3">
        <w:rPr>
          <w:rFonts w:ascii="Times New Roman" w:hAnsi="Times New Roman" w:cs="Times New Roman"/>
          <w:sz w:val="24"/>
          <w:szCs w:val="24"/>
        </w:rPr>
        <w:t>Griffths, Von Hinke, &amp; Smith, 2015)</w:t>
      </w:r>
      <w:r w:rsidRPr="008605F3">
        <w:rPr>
          <w:rFonts w:ascii="Times New Roman" w:hAnsi="Times New Roman" w:cs="Times New Roman"/>
          <w:sz w:val="24"/>
          <w:szCs w:val="24"/>
        </w:rPr>
        <w:t>. The scheme was mainly intended to enhance the basic levels of nutrition by promoting healthy lifestyles throu</w:t>
      </w:r>
      <w:r w:rsidR="008403B1" w:rsidRPr="008605F3">
        <w:rPr>
          <w:rFonts w:ascii="Times New Roman" w:hAnsi="Times New Roman" w:cs="Times New Roman"/>
          <w:sz w:val="24"/>
          <w:szCs w:val="24"/>
        </w:rPr>
        <w:t>gh changing diets.</w:t>
      </w:r>
      <w:r w:rsidRPr="008605F3">
        <w:rPr>
          <w:rFonts w:ascii="Times New Roman" w:hAnsi="Times New Roman" w:cs="Times New Roman"/>
          <w:sz w:val="24"/>
          <w:szCs w:val="24"/>
        </w:rPr>
        <w:t xml:space="preserve"> Griffths et al. (2015) expounded our understanding of the effectiveness of the healthy start vouchers on two scenarios. Borrowing from the standard economic theories, the authors considered scenario A, the initial budget constraint without economic incentives, and scenario B (the budget constraint of the recipient household with the influence of economic incentives. Figure 1 below illustrates the </w:t>
      </w:r>
      <w:r w:rsidRPr="008605F3">
        <w:rPr>
          <w:rFonts w:ascii="Times New Roman" w:hAnsi="Times New Roman" w:cs="Times New Roman"/>
          <w:sz w:val="24"/>
          <w:szCs w:val="24"/>
        </w:rPr>
        <w:lastRenderedPageBreak/>
        <w:t>effects of economic incentives of the healthy food vouchers concerning the budget constraint of the target population.</w:t>
      </w:r>
    </w:p>
    <w:p w:rsidR="0092592E" w:rsidRPr="008605F3" w:rsidRDefault="0092592E" w:rsidP="008605F3">
      <w:pPr>
        <w:spacing w:line="480" w:lineRule="auto"/>
        <w:rPr>
          <w:rFonts w:ascii="Times New Roman" w:hAnsi="Times New Roman" w:cs="Times New Roman"/>
          <w:sz w:val="24"/>
          <w:szCs w:val="24"/>
        </w:rPr>
      </w:pPr>
    </w:p>
    <w:p w:rsidR="002B3BCE" w:rsidRPr="008605F3" w:rsidRDefault="002B3BCE" w:rsidP="008605F3">
      <w:pPr>
        <w:spacing w:line="480" w:lineRule="auto"/>
        <w:jc w:val="center"/>
        <w:rPr>
          <w:rFonts w:ascii="Times New Roman" w:hAnsi="Times New Roman" w:cs="Times New Roman"/>
          <w:sz w:val="24"/>
          <w:szCs w:val="24"/>
        </w:rPr>
      </w:pPr>
      <w:r w:rsidRPr="008605F3">
        <w:rPr>
          <w:rFonts w:ascii="Times New Roman" w:hAnsi="Times New Roman" w:cs="Times New Roman"/>
          <w:noProof/>
          <w:sz w:val="24"/>
          <w:szCs w:val="24"/>
        </w:rPr>
        <w:drawing>
          <wp:inline distT="0" distB="0" distL="0" distR="0" wp14:anchorId="499CA5D1" wp14:editId="199218B9">
            <wp:extent cx="3610479" cy="3305636"/>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144D.tmp"/>
                    <pic:cNvPicPr/>
                  </pic:nvPicPr>
                  <pic:blipFill>
                    <a:blip r:embed="rId6">
                      <a:extLst>
                        <a:ext uri="{28A0092B-C50C-407E-A947-70E740481C1C}">
                          <a14:useLocalDpi xmlns:a14="http://schemas.microsoft.com/office/drawing/2010/main" val="0"/>
                        </a:ext>
                      </a:extLst>
                    </a:blip>
                    <a:stretch>
                      <a:fillRect/>
                    </a:stretch>
                  </pic:blipFill>
                  <pic:spPr>
                    <a:xfrm>
                      <a:off x="0" y="0"/>
                      <a:ext cx="3610479" cy="3305636"/>
                    </a:xfrm>
                    <a:prstGeom prst="rect">
                      <a:avLst/>
                    </a:prstGeom>
                  </pic:spPr>
                </pic:pic>
              </a:graphicData>
            </a:graphic>
          </wp:inline>
        </w:drawing>
      </w:r>
    </w:p>
    <w:p w:rsidR="008605F3" w:rsidRPr="008605F3" w:rsidRDefault="008605F3" w:rsidP="008605F3">
      <w:pPr>
        <w:spacing w:line="480" w:lineRule="auto"/>
        <w:jc w:val="center"/>
        <w:rPr>
          <w:rFonts w:ascii="Times New Roman" w:hAnsi="Times New Roman" w:cs="Times New Roman"/>
          <w:sz w:val="24"/>
          <w:szCs w:val="24"/>
        </w:rPr>
      </w:pPr>
      <w:r w:rsidRPr="008605F3">
        <w:rPr>
          <w:rFonts w:ascii="Times New Roman" w:hAnsi="Times New Roman" w:cs="Times New Roman"/>
          <w:sz w:val="24"/>
          <w:szCs w:val="24"/>
        </w:rPr>
        <w:t>Figure 1.0</w:t>
      </w:r>
    </w:p>
    <w:p w:rsidR="005E041B" w:rsidRPr="008605F3" w:rsidRDefault="005E041B" w:rsidP="008605F3">
      <w:pPr>
        <w:spacing w:line="480" w:lineRule="auto"/>
        <w:ind w:firstLine="720"/>
        <w:rPr>
          <w:rFonts w:ascii="Times New Roman" w:hAnsi="Times New Roman" w:cs="Times New Roman"/>
          <w:sz w:val="24"/>
          <w:szCs w:val="24"/>
        </w:rPr>
      </w:pPr>
      <w:r w:rsidRPr="008605F3">
        <w:rPr>
          <w:rFonts w:ascii="Times New Roman" w:hAnsi="Times New Roman" w:cs="Times New Roman"/>
          <w:sz w:val="24"/>
          <w:szCs w:val="24"/>
        </w:rPr>
        <w:t xml:space="preserve">Analytically, the impacts of the healthy food vouchers on spending on healthy lifestyles are similar to </w:t>
      </w:r>
      <w:r w:rsidR="008403B1" w:rsidRPr="008605F3">
        <w:rPr>
          <w:rFonts w:ascii="Times New Roman" w:hAnsi="Times New Roman" w:cs="Times New Roman"/>
          <w:sz w:val="24"/>
          <w:szCs w:val="24"/>
        </w:rPr>
        <w:t>financial</w:t>
      </w:r>
      <w:r w:rsidRPr="008605F3">
        <w:rPr>
          <w:rFonts w:ascii="Times New Roman" w:hAnsi="Times New Roman" w:cs="Times New Roman"/>
          <w:sz w:val="24"/>
          <w:szCs w:val="24"/>
        </w:rPr>
        <w:t xml:space="preserve"> </w:t>
      </w:r>
      <w:r w:rsidR="008403B1" w:rsidRPr="008605F3">
        <w:rPr>
          <w:rFonts w:ascii="Times New Roman" w:hAnsi="Times New Roman" w:cs="Times New Roman"/>
          <w:sz w:val="24"/>
          <w:szCs w:val="24"/>
        </w:rPr>
        <w:t>aids</w:t>
      </w:r>
      <w:r w:rsidRPr="008605F3">
        <w:rPr>
          <w:rFonts w:ascii="Times New Roman" w:hAnsi="Times New Roman" w:cs="Times New Roman"/>
          <w:sz w:val="24"/>
          <w:szCs w:val="24"/>
        </w:rPr>
        <w:t xml:space="preserve"> for infra-marginal households </w:t>
      </w:r>
      <w:r w:rsidR="008403B1" w:rsidRPr="008605F3">
        <w:rPr>
          <w:rFonts w:ascii="Times New Roman" w:hAnsi="Times New Roman" w:cs="Times New Roman"/>
          <w:sz w:val="24"/>
          <w:szCs w:val="24"/>
        </w:rPr>
        <w:t>denoted by U</w:t>
      </w:r>
      <w:r w:rsidR="008403B1" w:rsidRPr="001F60B0">
        <w:rPr>
          <w:rFonts w:ascii="Times New Roman" w:hAnsi="Times New Roman" w:cs="Times New Roman"/>
          <w:sz w:val="24"/>
          <w:szCs w:val="24"/>
          <w:vertAlign w:val="subscript"/>
        </w:rPr>
        <w:t>2</w:t>
      </w:r>
      <w:r w:rsidR="008403B1" w:rsidRPr="008605F3">
        <w:rPr>
          <w:rFonts w:ascii="Times New Roman" w:hAnsi="Times New Roman" w:cs="Times New Roman"/>
          <w:sz w:val="24"/>
          <w:szCs w:val="24"/>
        </w:rPr>
        <w:t>.</w:t>
      </w:r>
      <w:r w:rsidRPr="008605F3">
        <w:rPr>
          <w:rFonts w:ascii="Times New Roman" w:hAnsi="Times New Roman" w:cs="Times New Roman"/>
          <w:sz w:val="24"/>
          <w:szCs w:val="24"/>
        </w:rPr>
        <w:t xml:space="preserve"> Considerably, the utility of households who increasingly spend on vouchers for fruits and vegetables is likely to shift from U</w:t>
      </w:r>
      <w:r w:rsidRPr="001F60B0">
        <w:rPr>
          <w:rFonts w:ascii="Times New Roman" w:hAnsi="Times New Roman" w:cs="Times New Roman"/>
          <w:sz w:val="24"/>
          <w:szCs w:val="24"/>
          <w:vertAlign w:val="subscript"/>
        </w:rPr>
        <w:t>12</w:t>
      </w:r>
      <w:r w:rsidRPr="008605F3">
        <w:rPr>
          <w:rFonts w:ascii="Times New Roman" w:hAnsi="Times New Roman" w:cs="Times New Roman"/>
          <w:sz w:val="24"/>
          <w:szCs w:val="24"/>
        </w:rPr>
        <w:t xml:space="preserve"> to U</w:t>
      </w:r>
      <w:r w:rsidRPr="001F60B0">
        <w:rPr>
          <w:rFonts w:ascii="Times New Roman" w:hAnsi="Times New Roman" w:cs="Times New Roman"/>
          <w:sz w:val="24"/>
          <w:szCs w:val="24"/>
          <w:vertAlign w:val="subscript"/>
        </w:rPr>
        <w:t>22</w:t>
      </w:r>
      <w:r w:rsidRPr="008605F3">
        <w:rPr>
          <w:rFonts w:ascii="Times New Roman" w:hAnsi="Times New Roman" w:cs="Times New Roman"/>
          <w:sz w:val="24"/>
          <w:szCs w:val="24"/>
        </w:rPr>
        <w:t xml:space="preserve"> if they are given cash. On the other hand, distorted households (U</w:t>
      </w:r>
      <w:r w:rsidRPr="001F60B0">
        <w:rPr>
          <w:rFonts w:ascii="Times New Roman" w:hAnsi="Times New Roman" w:cs="Times New Roman"/>
          <w:sz w:val="24"/>
          <w:szCs w:val="24"/>
          <w:vertAlign w:val="subscript"/>
        </w:rPr>
        <w:t>1</w:t>
      </w:r>
      <w:r w:rsidRPr="008605F3">
        <w:rPr>
          <w:rFonts w:ascii="Times New Roman" w:hAnsi="Times New Roman" w:cs="Times New Roman"/>
          <w:sz w:val="24"/>
          <w:szCs w:val="24"/>
        </w:rPr>
        <w:t xml:space="preserve">) are likely to spend less on fruit and vegetables </w:t>
      </w:r>
      <w:r w:rsidR="001F60B0">
        <w:rPr>
          <w:rFonts w:ascii="Times New Roman" w:hAnsi="Times New Roman" w:cs="Times New Roman"/>
          <w:sz w:val="24"/>
          <w:szCs w:val="24"/>
        </w:rPr>
        <w:t>compared to</w:t>
      </w:r>
      <w:r w:rsidRPr="008605F3">
        <w:rPr>
          <w:rFonts w:ascii="Times New Roman" w:hAnsi="Times New Roman" w:cs="Times New Roman"/>
          <w:sz w:val="24"/>
          <w:szCs w:val="24"/>
        </w:rPr>
        <w:t xml:space="preserve"> the vouchers' value. The core objective of this economic incentive is to boost the spending habit of the target population on the targeted </w:t>
      </w:r>
      <w:r w:rsidR="008403B1" w:rsidRPr="008605F3">
        <w:rPr>
          <w:rFonts w:ascii="Times New Roman" w:hAnsi="Times New Roman" w:cs="Times New Roman"/>
          <w:sz w:val="24"/>
          <w:szCs w:val="24"/>
        </w:rPr>
        <w:t xml:space="preserve">set </w:t>
      </w:r>
      <w:r w:rsidRPr="008605F3">
        <w:rPr>
          <w:rFonts w:ascii="Times New Roman" w:hAnsi="Times New Roman" w:cs="Times New Roman"/>
          <w:sz w:val="24"/>
          <w:szCs w:val="24"/>
        </w:rPr>
        <w:t xml:space="preserve">goods by far than </w:t>
      </w:r>
      <w:r w:rsidR="008403B1" w:rsidRPr="008605F3">
        <w:rPr>
          <w:rFonts w:ascii="Times New Roman" w:hAnsi="Times New Roman" w:cs="Times New Roman"/>
          <w:sz w:val="24"/>
          <w:szCs w:val="24"/>
        </w:rPr>
        <w:t>corresponding</w:t>
      </w:r>
      <w:r w:rsidRPr="008605F3">
        <w:rPr>
          <w:rFonts w:ascii="Times New Roman" w:hAnsi="Times New Roman" w:cs="Times New Roman"/>
          <w:sz w:val="24"/>
          <w:szCs w:val="24"/>
        </w:rPr>
        <w:t xml:space="preserve"> cash benefit</w:t>
      </w:r>
      <w:r w:rsidR="001F60B0">
        <w:rPr>
          <w:rFonts w:ascii="Times New Roman" w:hAnsi="Times New Roman" w:cs="Times New Roman"/>
          <w:sz w:val="24"/>
          <w:szCs w:val="24"/>
        </w:rPr>
        <w:t>s</w:t>
      </w:r>
      <w:r w:rsidRPr="008605F3">
        <w:rPr>
          <w:rFonts w:ascii="Times New Roman" w:hAnsi="Times New Roman" w:cs="Times New Roman"/>
          <w:sz w:val="24"/>
          <w:szCs w:val="24"/>
        </w:rPr>
        <w:t>, enabling the</w:t>
      </w:r>
      <w:r w:rsidR="008403B1" w:rsidRPr="008605F3">
        <w:rPr>
          <w:rFonts w:ascii="Times New Roman" w:hAnsi="Times New Roman" w:cs="Times New Roman"/>
          <w:sz w:val="24"/>
          <w:szCs w:val="24"/>
        </w:rPr>
        <w:t xml:space="preserve"> target group to consume at point B.</w:t>
      </w:r>
      <w:r w:rsidRPr="008605F3">
        <w:rPr>
          <w:rFonts w:ascii="Times New Roman" w:hAnsi="Times New Roman" w:cs="Times New Roman"/>
          <w:sz w:val="24"/>
          <w:szCs w:val="24"/>
        </w:rPr>
        <w:t xml:space="preserve"> It is noteworthy to conclude that the set economic incentives bring about a remarkable change </w:t>
      </w:r>
      <w:r w:rsidRPr="008605F3">
        <w:rPr>
          <w:rFonts w:ascii="Times New Roman" w:hAnsi="Times New Roman" w:cs="Times New Roman"/>
          <w:sz w:val="24"/>
          <w:szCs w:val="24"/>
        </w:rPr>
        <w:lastRenderedPageBreak/>
        <w:t>to the spending behavior and dietary choices to the utility cost on distorted households instead of cash benefits.</w:t>
      </w:r>
    </w:p>
    <w:p w:rsidR="005E041B" w:rsidRPr="008605F3" w:rsidRDefault="005E041B" w:rsidP="008605F3">
      <w:pPr>
        <w:spacing w:line="480" w:lineRule="auto"/>
        <w:ind w:firstLine="720"/>
        <w:rPr>
          <w:rFonts w:ascii="Times New Roman" w:hAnsi="Times New Roman" w:cs="Times New Roman"/>
          <w:sz w:val="24"/>
          <w:szCs w:val="24"/>
        </w:rPr>
      </w:pPr>
      <w:r w:rsidRPr="008605F3">
        <w:rPr>
          <w:rFonts w:ascii="Times New Roman" w:hAnsi="Times New Roman" w:cs="Times New Roman"/>
          <w:sz w:val="24"/>
          <w:szCs w:val="24"/>
        </w:rPr>
        <w:t>In reflection, the effectiveness of healthy vouchers is highly challenged by the prevailing Welfare</w:t>
      </w:r>
      <w:r w:rsidR="001F60B0">
        <w:rPr>
          <w:rFonts w:ascii="Times New Roman" w:hAnsi="Times New Roman" w:cs="Times New Roman"/>
          <w:sz w:val="24"/>
          <w:szCs w:val="24"/>
        </w:rPr>
        <w:t xml:space="preserve"> Food Scheme, which tends to influence</w:t>
      </w:r>
      <w:r w:rsidRPr="008605F3">
        <w:rPr>
          <w:rFonts w:ascii="Times New Roman" w:hAnsi="Times New Roman" w:cs="Times New Roman"/>
          <w:sz w:val="24"/>
          <w:szCs w:val="24"/>
        </w:rPr>
        <w:t xml:space="preserve"> </w:t>
      </w:r>
      <w:r w:rsidR="001F60B0">
        <w:rPr>
          <w:rFonts w:ascii="Times New Roman" w:hAnsi="Times New Roman" w:cs="Times New Roman"/>
          <w:sz w:val="24"/>
          <w:szCs w:val="24"/>
        </w:rPr>
        <w:t>households</w:t>
      </w:r>
      <w:r w:rsidRPr="008605F3">
        <w:rPr>
          <w:rFonts w:ascii="Times New Roman" w:hAnsi="Times New Roman" w:cs="Times New Roman"/>
          <w:sz w:val="24"/>
          <w:szCs w:val="24"/>
        </w:rPr>
        <w:t xml:space="preserve"> cons</w:t>
      </w:r>
      <w:r w:rsidR="008403B1" w:rsidRPr="008605F3">
        <w:rPr>
          <w:rFonts w:ascii="Times New Roman" w:hAnsi="Times New Roman" w:cs="Times New Roman"/>
          <w:sz w:val="24"/>
          <w:szCs w:val="24"/>
        </w:rPr>
        <w:t>umption of</w:t>
      </w:r>
      <w:r w:rsidRPr="008605F3">
        <w:rPr>
          <w:rFonts w:ascii="Times New Roman" w:hAnsi="Times New Roman" w:cs="Times New Roman"/>
          <w:sz w:val="24"/>
          <w:szCs w:val="24"/>
        </w:rPr>
        <w:t xml:space="preserve"> fruit and</w:t>
      </w:r>
      <w:r w:rsidR="001F60B0">
        <w:rPr>
          <w:rFonts w:ascii="Times New Roman" w:hAnsi="Times New Roman" w:cs="Times New Roman"/>
          <w:sz w:val="24"/>
          <w:szCs w:val="24"/>
        </w:rPr>
        <w:t xml:space="preserve"> vegetables and infant formula.</w:t>
      </w:r>
      <w:r w:rsidRPr="008605F3">
        <w:rPr>
          <w:rFonts w:ascii="Times New Roman" w:hAnsi="Times New Roman" w:cs="Times New Roman"/>
          <w:sz w:val="24"/>
          <w:szCs w:val="24"/>
        </w:rPr>
        <w:t xml:space="preserve"> Reasonably, such goods are thought to be essential for families with young children. The incentives would immediately increase spending on lifestyle diets (Beatty, Blow, Crossley &amp; O'Dea, 2014). Lifestyle affiliated policies are likely to </w:t>
      </w:r>
      <w:r w:rsidR="001F60B0">
        <w:rPr>
          <w:rFonts w:ascii="Times New Roman" w:hAnsi="Times New Roman" w:cs="Times New Roman"/>
          <w:sz w:val="24"/>
          <w:szCs w:val="24"/>
        </w:rPr>
        <w:t>give</w:t>
      </w:r>
      <w:r w:rsidRPr="008605F3">
        <w:rPr>
          <w:rFonts w:ascii="Times New Roman" w:hAnsi="Times New Roman" w:cs="Times New Roman"/>
          <w:sz w:val="24"/>
          <w:szCs w:val="24"/>
        </w:rPr>
        <w:t xml:space="preserve"> similar results to the consumption of labelled goods by both distorted a</w:t>
      </w:r>
      <w:r w:rsidR="001F60B0">
        <w:rPr>
          <w:rFonts w:ascii="Times New Roman" w:hAnsi="Times New Roman" w:cs="Times New Roman"/>
          <w:sz w:val="24"/>
          <w:szCs w:val="24"/>
        </w:rPr>
        <w:t>n</w:t>
      </w:r>
      <w:r w:rsidRPr="008605F3">
        <w:rPr>
          <w:rFonts w:ascii="Times New Roman" w:hAnsi="Times New Roman" w:cs="Times New Roman"/>
          <w:sz w:val="24"/>
          <w:szCs w:val="24"/>
        </w:rPr>
        <w:t>d infra-marginal households, assuming that both households belong to the same low-income group. The effect</w:t>
      </w:r>
      <w:r w:rsidR="008403B1" w:rsidRPr="008605F3">
        <w:rPr>
          <w:rFonts w:ascii="Times New Roman" w:hAnsi="Times New Roman" w:cs="Times New Roman"/>
          <w:sz w:val="24"/>
          <w:szCs w:val="24"/>
        </w:rPr>
        <w:t>iveness</w:t>
      </w:r>
      <w:r w:rsidRPr="008605F3">
        <w:rPr>
          <w:rFonts w:ascii="Times New Roman" w:hAnsi="Times New Roman" w:cs="Times New Roman"/>
          <w:sz w:val="24"/>
          <w:szCs w:val="24"/>
        </w:rPr>
        <w:t xml:space="preserve"> of the vouchers </w:t>
      </w:r>
      <w:r w:rsidR="008403B1" w:rsidRPr="008605F3">
        <w:rPr>
          <w:rFonts w:ascii="Times New Roman" w:hAnsi="Times New Roman" w:cs="Times New Roman"/>
          <w:sz w:val="24"/>
          <w:szCs w:val="24"/>
        </w:rPr>
        <w:t>can only be noticed</w:t>
      </w:r>
      <w:r w:rsidRPr="008605F3">
        <w:rPr>
          <w:rFonts w:ascii="Times New Roman" w:hAnsi="Times New Roman" w:cs="Times New Roman"/>
          <w:sz w:val="24"/>
          <w:szCs w:val="24"/>
        </w:rPr>
        <w:t xml:space="preserve"> through standard economic incentives. </w:t>
      </w:r>
      <w:r w:rsidR="008403B1" w:rsidRPr="008605F3">
        <w:rPr>
          <w:rFonts w:ascii="Times New Roman" w:hAnsi="Times New Roman" w:cs="Times New Roman"/>
          <w:sz w:val="24"/>
          <w:szCs w:val="24"/>
        </w:rPr>
        <w:t xml:space="preserve">According to Groffths et al., the </w:t>
      </w:r>
      <w:r w:rsidRPr="008605F3">
        <w:rPr>
          <w:rFonts w:ascii="Times New Roman" w:hAnsi="Times New Roman" w:cs="Times New Roman"/>
          <w:sz w:val="24"/>
          <w:szCs w:val="24"/>
        </w:rPr>
        <w:t xml:space="preserve">marginal propensity to consume </w:t>
      </w:r>
      <w:r w:rsidR="008403B1" w:rsidRPr="008605F3">
        <w:rPr>
          <w:rFonts w:ascii="Times New Roman" w:hAnsi="Times New Roman" w:cs="Times New Roman"/>
          <w:sz w:val="24"/>
          <w:szCs w:val="24"/>
        </w:rPr>
        <w:t>the labelled goods</w:t>
      </w:r>
      <w:r w:rsidRPr="008605F3">
        <w:rPr>
          <w:rFonts w:ascii="Times New Roman" w:hAnsi="Times New Roman" w:cs="Times New Roman"/>
          <w:sz w:val="24"/>
          <w:szCs w:val="24"/>
        </w:rPr>
        <w:t xml:space="preserve"> will be </w:t>
      </w:r>
      <w:r w:rsidR="008403B1" w:rsidRPr="008605F3">
        <w:rPr>
          <w:rFonts w:ascii="Times New Roman" w:hAnsi="Times New Roman" w:cs="Times New Roman"/>
          <w:sz w:val="24"/>
          <w:szCs w:val="24"/>
        </w:rPr>
        <w:t>higher than the marginal propensity to consume on</w:t>
      </w:r>
      <w:r w:rsidRPr="008605F3">
        <w:rPr>
          <w:rFonts w:ascii="Times New Roman" w:hAnsi="Times New Roman" w:cs="Times New Roman"/>
          <w:sz w:val="24"/>
          <w:szCs w:val="24"/>
        </w:rPr>
        <w:t xml:space="preserve"> </w:t>
      </w:r>
      <w:r w:rsidR="008403B1" w:rsidRPr="008605F3">
        <w:rPr>
          <w:rFonts w:ascii="Times New Roman" w:hAnsi="Times New Roman" w:cs="Times New Roman"/>
          <w:sz w:val="24"/>
          <w:szCs w:val="24"/>
        </w:rPr>
        <w:t>fixed</w:t>
      </w:r>
      <w:r w:rsidRPr="008605F3">
        <w:rPr>
          <w:rFonts w:ascii="Times New Roman" w:hAnsi="Times New Roman" w:cs="Times New Roman"/>
          <w:sz w:val="24"/>
          <w:szCs w:val="24"/>
        </w:rPr>
        <w:t xml:space="preserve"> income for distorted households. </w:t>
      </w:r>
    </w:p>
    <w:p w:rsidR="005E041B" w:rsidRPr="008605F3" w:rsidRDefault="005E041B" w:rsidP="008605F3">
      <w:pPr>
        <w:spacing w:line="480" w:lineRule="auto"/>
        <w:ind w:firstLine="720"/>
        <w:rPr>
          <w:rFonts w:ascii="Times New Roman" w:hAnsi="Times New Roman" w:cs="Times New Roman"/>
          <w:sz w:val="24"/>
          <w:szCs w:val="24"/>
        </w:rPr>
      </w:pPr>
      <w:r w:rsidRPr="008605F3">
        <w:rPr>
          <w:rFonts w:ascii="Times New Roman" w:hAnsi="Times New Roman" w:cs="Times New Roman"/>
          <w:sz w:val="24"/>
          <w:szCs w:val="24"/>
        </w:rPr>
        <w:t>Griffths et al. (2015) findings are relevant with other research evide</w:t>
      </w:r>
      <w:r w:rsidR="001F60B0">
        <w:rPr>
          <w:rFonts w:ascii="Times New Roman" w:hAnsi="Times New Roman" w:cs="Times New Roman"/>
          <w:sz w:val="24"/>
          <w:szCs w:val="24"/>
        </w:rPr>
        <w:t xml:space="preserve">nce on the impact of vouchers. </w:t>
      </w:r>
      <w:r w:rsidRPr="008605F3">
        <w:rPr>
          <w:rFonts w:ascii="Times New Roman" w:hAnsi="Times New Roman" w:cs="Times New Roman"/>
          <w:sz w:val="24"/>
          <w:szCs w:val="24"/>
        </w:rPr>
        <w:t>Their findings indicate that vouchers (essential economic incentives) tend to expound on the effectiveness of labeling goods. This influences how they are consumed, more so goods that are thought to be under-consumed.  The research agrees with Abeler &amp; Marklein's (2017) findings that economic incentives (e.g., vouchers) lead to the increased marginal propensity to consume labeled goods. This strategy is found effective in ensuring child benefits. The consumption of subsidized goods is higher than the legible population (Griffths et al., 2015). Although treatments vary in the label attached to each subsidy, ideal consumers should not be challenged by the nature of subsidy, as projected in the standard theory.</w:t>
      </w:r>
    </w:p>
    <w:p w:rsidR="005E041B" w:rsidRPr="008605F3" w:rsidRDefault="005E041B" w:rsidP="008605F3">
      <w:pPr>
        <w:spacing w:line="480" w:lineRule="auto"/>
        <w:ind w:firstLine="720"/>
        <w:rPr>
          <w:rFonts w:ascii="Times New Roman" w:hAnsi="Times New Roman" w:cs="Times New Roman"/>
          <w:sz w:val="24"/>
          <w:szCs w:val="24"/>
        </w:rPr>
      </w:pPr>
      <w:r w:rsidRPr="008605F3">
        <w:rPr>
          <w:rFonts w:ascii="Times New Roman" w:hAnsi="Times New Roman" w:cs="Times New Roman"/>
          <w:sz w:val="24"/>
          <w:szCs w:val="24"/>
        </w:rPr>
        <w:t xml:space="preserve">In summation, the healthy start vouchers greatly impact the consumption of fruit and vegetables and infant formula as labeled goods in the UK. Vouchers increase spending among </w:t>
      </w:r>
      <w:r w:rsidRPr="008605F3">
        <w:rPr>
          <w:rFonts w:ascii="Times New Roman" w:hAnsi="Times New Roman" w:cs="Times New Roman"/>
          <w:sz w:val="24"/>
          <w:szCs w:val="24"/>
        </w:rPr>
        <w:lastRenderedPageBreak/>
        <w:t>distorted households. Standard economic incentives have more impact on the distorted households, while other features tend to have mild or no impacts on the</w:t>
      </w:r>
      <w:r w:rsidR="001F60B0">
        <w:rPr>
          <w:rFonts w:ascii="Times New Roman" w:hAnsi="Times New Roman" w:cs="Times New Roman"/>
          <w:sz w:val="24"/>
          <w:szCs w:val="24"/>
        </w:rPr>
        <w:t>ir</w:t>
      </w:r>
      <w:r w:rsidRPr="008605F3">
        <w:rPr>
          <w:rFonts w:ascii="Times New Roman" w:hAnsi="Times New Roman" w:cs="Times New Roman"/>
          <w:sz w:val="24"/>
          <w:szCs w:val="24"/>
        </w:rPr>
        <w:t xml:space="preserve"> consumption of labeled goods. </w:t>
      </w:r>
      <w:r w:rsidR="001F60B0">
        <w:rPr>
          <w:rFonts w:ascii="Times New Roman" w:hAnsi="Times New Roman" w:cs="Times New Roman"/>
          <w:sz w:val="24"/>
          <w:szCs w:val="24"/>
        </w:rPr>
        <w:t>B</w:t>
      </w:r>
      <w:r w:rsidRPr="008605F3">
        <w:rPr>
          <w:rFonts w:ascii="Times New Roman" w:hAnsi="Times New Roman" w:cs="Times New Roman"/>
          <w:sz w:val="24"/>
          <w:szCs w:val="24"/>
        </w:rPr>
        <w:t>ehavioral mechanisms are likely to affect the welfare of all households.</w:t>
      </w:r>
    </w:p>
    <w:p w:rsidR="008605F3" w:rsidRPr="008605F3" w:rsidRDefault="008605F3" w:rsidP="008605F3">
      <w:pPr>
        <w:spacing w:line="480" w:lineRule="auto"/>
        <w:jc w:val="center"/>
        <w:rPr>
          <w:rFonts w:ascii="Times New Roman" w:hAnsi="Times New Roman" w:cs="Times New Roman"/>
          <w:sz w:val="24"/>
          <w:szCs w:val="24"/>
        </w:rPr>
      </w:pPr>
    </w:p>
    <w:p w:rsidR="008605F3" w:rsidRPr="008605F3" w:rsidRDefault="008605F3" w:rsidP="008605F3">
      <w:pPr>
        <w:spacing w:line="480" w:lineRule="auto"/>
        <w:jc w:val="center"/>
        <w:rPr>
          <w:rFonts w:ascii="Times New Roman" w:hAnsi="Times New Roman" w:cs="Times New Roman"/>
          <w:sz w:val="24"/>
          <w:szCs w:val="24"/>
        </w:rPr>
      </w:pPr>
    </w:p>
    <w:p w:rsidR="008605F3" w:rsidRPr="008605F3" w:rsidRDefault="008605F3" w:rsidP="008605F3">
      <w:pPr>
        <w:spacing w:line="480" w:lineRule="auto"/>
        <w:jc w:val="center"/>
        <w:rPr>
          <w:rFonts w:ascii="Times New Roman" w:hAnsi="Times New Roman" w:cs="Times New Roman"/>
          <w:sz w:val="24"/>
          <w:szCs w:val="24"/>
        </w:rPr>
      </w:pPr>
    </w:p>
    <w:p w:rsidR="008605F3" w:rsidRPr="008605F3" w:rsidRDefault="008605F3" w:rsidP="008605F3">
      <w:pPr>
        <w:spacing w:line="480" w:lineRule="auto"/>
        <w:jc w:val="center"/>
        <w:rPr>
          <w:rFonts w:ascii="Times New Roman" w:hAnsi="Times New Roman" w:cs="Times New Roman"/>
          <w:sz w:val="24"/>
          <w:szCs w:val="24"/>
        </w:rPr>
      </w:pPr>
    </w:p>
    <w:p w:rsidR="008605F3" w:rsidRPr="008605F3" w:rsidRDefault="008605F3" w:rsidP="008605F3">
      <w:pPr>
        <w:spacing w:line="480" w:lineRule="auto"/>
        <w:jc w:val="center"/>
        <w:rPr>
          <w:rFonts w:ascii="Times New Roman" w:hAnsi="Times New Roman" w:cs="Times New Roman"/>
          <w:sz w:val="24"/>
          <w:szCs w:val="24"/>
        </w:rPr>
      </w:pPr>
    </w:p>
    <w:p w:rsidR="008605F3" w:rsidRPr="008605F3" w:rsidRDefault="008605F3" w:rsidP="008605F3">
      <w:pPr>
        <w:spacing w:line="480" w:lineRule="auto"/>
        <w:jc w:val="center"/>
        <w:rPr>
          <w:rFonts w:ascii="Times New Roman" w:hAnsi="Times New Roman" w:cs="Times New Roman"/>
          <w:sz w:val="24"/>
          <w:szCs w:val="24"/>
        </w:rPr>
      </w:pPr>
    </w:p>
    <w:p w:rsidR="008605F3" w:rsidRPr="008605F3" w:rsidRDefault="008605F3" w:rsidP="008605F3">
      <w:pPr>
        <w:spacing w:line="480" w:lineRule="auto"/>
        <w:jc w:val="center"/>
        <w:rPr>
          <w:rFonts w:ascii="Times New Roman" w:hAnsi="Times New Roman" w:cs="Times New Roman"/>
          <w:sz w:val="24"/>
          <w:szCs w:val="24"/>
        </w:rPr>
      </w:pPr>
    </w:p>
    <w:p w:rsidR="008605F3" w:rsidRPr="008605F3" w:rsidRDefault="008605F3" w:rsidP="008605F3">
      <w:pPr>
        <w:spacing w:line="480" w:lineRule="auto"/>
        <w:jc w:val="center"/>
        <w:rPr>
          <w:rFonts w:ascii="Times New Roman" w:hAnsi="Times New Roman" w:cs="Times New Roman"/>
          <w:sz w:val="24"/>
          <w:szCs w:val="24"/>
        </w:rPr>
      </w:pPr>
    </w:p>
    <w:p w:rsidR="008605F3" w:rsidRPr="008605F3" w:rsidRDefault="008605F3" w:rsidP="008605F3">
      <w:pPr>
        <w:spacing w:line="480" w:lineRule="auto"/>
        <w:jc w:val="center"/>
        <w:rPr>
          <w:rFonts w:ascii="Times New Roman" w:hAnsi="Times New Roman" w:cs="Times New Roman"/>
          <w:sz w:val="24"/>
          <w:szCs w:val="24"/>
        </w:rPr>
      </w:pPr>
    </w:p>
    <w:p w:rsidR="008605F3" w:rsidRPr="008605F3" w:rsidRDefault="008605F3" w:rsidP="008605F3">
      <w:pPr>
        <w:spacing w:line="480" w:lineRule="auto"/>
        <w:jc w:val="center"/>
        <w:rPr>
          <w:rFonts w:ascii="Times New Roman" w:hAnsi="Times New Roman" w:cs="Times New Roman"/>
          <w:sz w:val="24"/>
          <w:szCs w:val="24"/>
        </w:rPr>
      </w:pPr>
    </w:p>
    <w:p w:rsidR="008605F3" w:rsidRPr="008605F3" w:rsidRDefault="008605F3" w:rsidP="008605F3">
      <w:pPr>
        <w:spacing w:line="480" w:lineRule="auto"/>
        <w:jc w:val="center"/>
        <w:rPr>
          <w:rFonts w:ascii="Times New Roman" w:hAnsi="Times New Roman" w:cs="Times New Roman"/>
          <w:sz w:val="24"/>
          <w:szCs w:val="24"/>
        </w:rPr>
      </w:pPr>
    </w:p>
    <w:p w:rsidR="008605F3" w:rsidRPr="008605F3" w:rsidRDefault="008605F3" w:rsidP="008605F3">
      <w:pPr>
        <w:spacing w:line="480" w:lineRule="auto"/>
        <w:jc w:val="center"/>
        <w:rPr>
          <w:rFonts w:ascii="Times New Roman" w:hAnsi="Times New Roman" w:cs="Times New Roman"/>
          <w:sz w:val="24"/>
          <w:szCs w:val="24"/>
        </w:rPr>
      </w:pPr>
    </w:p>
    <w:p w:rsidR="008605F3" w:rsidRPr="008605F3" w:rsidRDefault="008605F3" w:rsidP="008605F3">
      <w:pPr>
        <w:spacing w:line="480" w:lineRule="auto"/>
        <w:jc w:val="center"/>
        <w:rPr>
          <w:rFonts w:ascii="Times New Roman" w:hAnsi="Times New Roman" w:cs="Times New Roman"/>
          <w:sz w:val="24"/>
          <w:szCs w:val="24"/>
        </w:rPr>
      </w:pPr>
    </w:p>
    <w:p w:rsidR="008605F3" w:rsidRDefault="008605F3" w:rsidP="008605F3">
      <w:pPr>
        <w:spacing w:line="480" w:lineRule="auto"/>
        <w:jc w:val="center"/>
        <w:rPr>
          <w:rFonts w:ascii="Times New Roman" w:hAnsi="Times New Roman" w:cs="Times New Roman"/>
          <w:sz w:val="24"/>
          <w:szCs w:val="24"/>
        </w:rPr>
      </w:pPr>
    </w:p>
    <w:p w:rsidR="001F60B0" w:rsidRDefault="001F60B0" w:rsidP="008605F3">
      <w:pPr>
        <w:spacing w:line="480" w:lineRule="auto"/>
        <w:jc w:val="center"/>
        <w:rPr>
          <w:rFonts w:ascii="Times New Roman" w:hAnsi="Times New Roman" w:cs="Times New Roman"/>
          <w:sz w:val="24"/>
          <w:szCs w:val="24"/>
        </w:rPr>
      </w:pPr>
    </w:p>
    <w:p w:rsidR="001F60B0" w:rsidRPr="008605F3" w:rsidRDefault="001F60B0" w:rsidP="008605F3">
      <w:pPr>
        <w:spacing w:line="480" w:lineRule="auto"/>
        <w:jc w:val="center"/>
        <w:rPr>
          <w:rFonts w:ascii="Times New Roman" w:hAnsi="Times New Roman" w:cs="Times New Roman"/>
          <w:sz w:val="24"/>
          <w:szCs w:val="24"/>
        </w:rPr>
      </w:pPr>
      <w:bookmarkStart w:id="0" w:name="_GoBack"/>
      <w:bookmarkEnd w:id="0"/>
    </w:p>
    <w:p w:rsidR="00DC1F5C" w:rsidRPr="008605F3" w:rsidRDefault="00DC1F5C" w:rsidP="008605F3">
      <w:pPr>
        <w:spacing w:line="480" w:lineRule="auto"/>
        <w:jc w:val="center"/>
        <w:rPr>
          <w:rFonts w:ascii="Times New Roman" w:hAnsi="Times New Roman" w:cs="Times New Roman"/>
          <w:b/>
          <w:sz w:val="24"/>
          <w:szCs w:val="24"/>
        </w:rPr>
      </w:pPr>
      <w:r w:rsidRPr="008605F3">
        <w:rPr>
          <w:rFonts w:ascii="Times New Roman" w:hAnsi="Times New Roman" w:cs="Times New Roman"/>
          <w:b/>
          <w:sz w:val="24"/>
          <w:szCs w:val="24"/>
        </w:rPr>
        <w:lastRenderedPageBreak/>
        <w:t>References</w:t>
      </w:r>
    </w:p>
    <w:p w:rsidR="00DC1F5C" w:rsidRPr="008605F3" w:rsidRDefault="00DC1F5C" w:rsidP="008605F3">
      <w:pPr>
        <w:spacing w:line="480" w:lineRule="auto"/>
        <w:ind w:left="720" w:hanging="720"/>
        <w:rPr>
          <w:rFonts w:ascii="Times New Roman" w:hAnsi="Times New Roman" w:cs="Times New Roman"/>
          <w:sz w:val="24"/>
          <w:szCs w:val="24"/>
          <w:shd w:val="clear" w:color="auto" w:fill="FFFFFF"/>
        </w:rPr>
      </w:pPr>
      <w:r w:rsidRPr="008605F3">
        <w:rPr>
          <w:rFonts w:ascii="Times New Roman" w:hAnsi="Times New Roman" w:cs="Times New Roman"/>
          <w:sz w:val="24"/>
          <w:szCs w:val="24"/>
          <w:shd w:val="clear" w:color="auto" w:fill="FFFFFF"/>
        </w:rPr>
        <w:t>Abeler, J., &amp; Marklein, F. (2017). Fungibility, labels, and consumption. </w:t>
      </w:r>
      <w:r w:rsidRPr="008605F3">
        <w:rPr>
          <w:rFonts w:ascii="Times New Roman" w:hAnsi="Times New Roman" w:cs="Times New Roman"/>
          <w:i/>
          <w:iCs/>
          <w:sz w:val="24"/>
          <w:szCs w:val="24"/>
          <w:shd w:val="clear" w:color="auto" w:fill="FFFFFF"/>
        </w:rPr>
        <w:t>Journal of the European Economic Association</w:t>
      </w:r>
      <w:r w:rsidRPr="008605F3">
        <w:rPr>
          <w:rFonts w:ascii="Times New Roman" w:hAnsi="Times New Roman" w:cs="Times New Roman"/>
          <w:sz w:val="24"/>
          <w:szCs w:val="24"/>
          <w:shd w:val="clear" w:color="auto" w:fill="FFFFFF"/>
        </w:rPr>
        <w:t>, </w:t>
      </w:r>
      <w:r w:rsidRPr="008605F3">
        <w:rPr>
          <w:rFonts w:ascii="Times New Roman" w:hAnsi="Times New Roman" w:cs="Times New Roman"/>
          <w:i/>
          <w:iCs/>
          <w:sz w:val="24"/>
          <w:szCs w:val="24"/>
          <w:shd w:val="clear" w:color="auto" w:fill="FFFFFF"/>
        </w:rPr>
        <w:t>15</w:t>
      </w:r>
      <w:r w:rsidRPr="008605F3">
        <w:rPr>
          <w:rFonts w:ascii="Times New Roman" w:hAnsi="Times New Roman" w:cs="Times New Roman"/>
          <w:sz w:val="24"/>
          <w:szCs w:val="24"/>
          <w:shd w:val="clear" w:color="auto" w:fill="FFFFFF"/>
        </w:rPr>
        <w:t>(1), 99-127.</w:t>
      </w:r>
    </w:p>
    <w:p w:rsidR="00DC1F5C" w:rsidRPr="008605F3" w:rsidRDefault="00DC1F5C" w:rsidP="008605F3">
      <w:pPr>
        <w:spacing w:line="480" w:lineRule="auto"/>
        <w:ind w:left="720" w:hanging="720"/>
        <w:rPr>
          <w:rFonts w:ascii="Times New Roman" w:hAnsi="Times New Roman" w:cs="Times New Roman"/>
          <w:sz w:val="24"/>
          <w:szCs w:val="24"/>
          <w:shd w:val="clear" w:color="auto" w:fill="FFFFFF"/>
        </w:rPr>
      </w:pPr>
      <w:r w:rsidRPr="008605F3">
        <w:rPr>
          <w:rFonts w:ascii="Times New Roman" w:hAnsi="Times New Roman" w:cs="Times New Roman"/>
          <w:sz w:val="24"/>
          <w:szCs w:val="24"/>
          <w:shd w:val="clear" w:color="auto" w:fill="FFFFFF"/>
        </w:rPr>
        <w:t>Beatty, T. K., Blow, L., Crossley, T. F., &amp; O'Dea, C. (2014). Cash by any other name? Evidence on labeling from the UK Winter Fuel Payment. </w:t>
      </w:r>
      <w:r w:rsidRPr="008605F3">
        <w:rPr>
          <w:rFonts w:ascii="Times New Roman" w:hAnsi="Times New Roman" w:cs="Times New Roman"/>
          <w:i/>
          <w:iCs/>
          <w:sz w:val="24"/>
          <w:szCs w:val="24"/>
          <w:shd w:val="clear" w:color="auto" w:fill="FFFFFF"/>
        </w:rPr>
        <w:t>Journal of Public Economics</w:t>
      </w:r>
      <w:r w:rsidRPr="008605F3">
        <w:rPr>
          <w:rFonts w:ascii="Times New Roman" w:hAnsi="Times New Roman" w:cs="Times New Roman"/>
          <w:sz w:val="24"/>
          <w:szCs w:val="24"/>
          <w:shd w:val="clear" w:color="auto" w:fill="FFFFFF"/>
        </w:rPr>
        <w:t>, </w:t>
      </w:r>
      <w:r w:rsidRPr="008605F3">
        <w:rPr>
          <w:rFonts w:ascii="Times New Roman" w:hAnsi="Times New Roman" w:cs="Times New Roman"/>
          <w:i/>
          <w:iCs/>
          <w:sz w:val="24"/>
          <w:szCs w:val="24"/>
          <w:shd w:val="clear" w:color="auto" w:fill="FFFFFF"/>
        </w:rPr>
        <w:t>118</w:t>
      </w:r>
      <w:r w:rsidRPr="008605F3">
        <w:rPr>
          <w:rFonts w:ascii="Times New Roman" w:hAnsi="Times New Roman" w:cs="Times New Roman"/>
          <w:sz w:val="24"/>
          <w:szCs w:val="24"/>
          <w:shd w:val="clear" w:color="auto" w:fill="FFFFFF"/>
        </w:rPr>
        <w:t>, 86-96.</w:t>
      </w:r>
    </w:p>
    <w:p w:rsidR="00DC1F5C" w:rsidRPr="008605F3" w:rsidRDefault="00DC1F5C" w:rsidP="008605F3">
      <w:pPr>
        <w:spacing w:line="480" w:lineRule="auto"/>
        <w:ind w:left="720" w:hanging="720"/>
        <w:rPr>
          <w:rFonts w:ascii="Times New Roman" w:hAnsi="Times New Roman" w:cs="Times New Roman"/>
          <w:sz w:val="24"/>
          <w:szCs w:val="24"/>
        </w:rPr>
      </w:pPr>
      <w:r w:rsidRPr="008605F3">
        <w:rPr>
          <w:rFonts w:ascii="Times New Roman" w:hAnsi="Times New Roman" w:cs="Times New Roman"/>
          <w:sz w:val="24"/>
          <w:szCs w:val="24"/>
          <w:shd w:val="clear" w:color="auto" w:fill="FFFFFF"/>
        </w:rPr>
        <w:t>Griffith, R., von Hinke, S., &amp; Smith, S. (2018). Getting a healthy start: The effectiveness of targeted benefits for improving dietary choices. </w:t>
      </w:r>
      <w:r w:rsidRPr="008605F3">
        <w:rPr>
          <w:rFonts w:ascii="Times New Roman" w:hAnsi="Times New Roman" w:cs="Times New Roman"/>
          <w:i/>
          <w:iCs/>
          <w:sz w:val="24"/>
          <w:szCs w:val="24"/>
          <w:shd w:val="clear" w:color="auto" w:fill="FFFFFF"/>
        </w:rPr>
        <w:t>Journal of health economics</w:t>
      </w:r>
      <w:r w:rsidRPr="008605F3">
        <w:rPr>
          <w:rFonts w:ascii="Times New Roman" w:hAnsi="Times New Roman" w:cs="Times New Roman"/>
          <w:sz w:val="24"/>
          <w:szCs w:val="24"/>
          <w:shd w:val="clear" w:color="auto" w:fill="FFFFFF"/>
        </w:rPr>
        <w:t>, </w:t>
      </w:r>
      <w:r w:rsidRPr="008605F3">
        <w:rPr>
          <w:rFonts w:ascii="Times New Roman" w:hAnsi="Times New Roman" w:cs="Times New Roman"/>
          <w:i/>
          <w:iCs/>
          <w:sz w:val="24"/>
          <w:szCs w:val="24"/>
          <w:shd w:val="clear" w:color="auto" w:fill="FFFFFF"/>
        </w:rPr>
        <w:t>58</w:t>
      </w:r>
      <w:r w:rsidRPr="008605F3">
        <w:rPr>
          <w:rFonts w:ascii="Times New Roman" w:hAnsi="Times New Roman" w:cs="Times New Roman"/>
          <w:sz w:val="24"/>
          <w:szCs w:val="24"/>
          <w:shd w:val="clear" w:color="auto" w:fill="FFFFFF"/>
        </w:rPr>
        <w:t>, 176-187.</w:t>
      </w:r>
    </w:p>
    <w:p w:rsidR="00DC1F5C" w:rsidRPr="008605F3" w:rsidRDefault="00DC1F5C" w:rsidP="008605F3">
      <w:pPr>
        <w:spacing w:line="480" w:lineRule="auto"/>
        <w:rPr>
          <w:rFonts w:ascii="Times New Roman" w:hAnsi="Times New Roman" w:cs="Times New Roman"/>
          <w:sz w:val="24"/>
          <w:szCs w:val="24"/>
        </w:rPr>
      </w:pPr>
    </w:p>
    <w:sectPr w:rsidR="00DC1F5C" w:rsidRPr="008605F3">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225F" w:rsidRDefault="00D6225F" w:rsidP="008605F3">
      <w:pPr>
        <w:spacing w:after="0" w:line="240" w:lineRule="auto"/>
      </w:pPr>
      <w:r>
        <w:separator/>
      </w:r>
    </w:p>
  </w:endnote>
  <w:endnote w:type="continuationSeparator" w:id="0">
    <w:p w:rsidR="00D6225F" w:rsidRDefault="00D6225F" w:rsidP="008605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225F" w:rsidRDefault="00D6225F" w:rsidP="008605F3">
      <w:pPr>
        <w:spacing w:after="0" w:line="240" w:lineRule="auto"/>
      </w:pPr>
      <w:r>
        <w:separator/>
      </w:r>
    </w:p>
  </w:footnote>
  <w:footnote w:type="continuationSeparator" w:id="0">
    <w:p w:rsidR="00D6225F" w:rsidRDefault="00D6225F" w:rsidP="008605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135926140"/>
      <w:docPartObj>
        <w:docPartGallery w:val="Page Numbers (Top of Page)"/>
        <w:docPartUnique/>
      </w:docPartObj>
    </w:sdtPr>
    <w:sdtEndPr>
      <w:rPr>
        <w:noProof/>
      </w:rPr>
    </w:sdtEndPr>
    <w:sdtContent>
      <w:p w:rsidR="008605F3" w:rsidRPr="008605F3" w:rsidRDefault="008605F3">
        <w:pPr>
          <w:pStyle w:val="Header"/>
          <w:jc w:val="right"/>
          <w:rPr>
            <w:rFonts w:ascii="Times New Roman" w:hAnsi="Times New Roman" w:cs="Times New Roman"/>
            <w:sz w:val="24"/>
            <w:szCs w:val="24"/>
          </w:rPr>
        </w:pPr>
        <w:r w:rsidRPr="008605F3">
          <w:rPr>
            <w:rFonts w:ascii="Times New Roman" w:hAnsi="Times New Roman" w:cs="Times New Roman"/>
            <w:sz w:val="24"/>
            <w:szCs w:val="24"/>
          </w:rPr>
          <w:fldChar w:fldCharType="begin"/>
        </w:r>
        <w:r w:rsidRPr="008605F3">
          <w:rPr>
            <w:rFonts w:ascii="Times New Roman" w:hAnsi="Times New Roman" w:cs="Times New Roman"/>
            <w:sz w:val="24"/>
            <w:szCs w:val="24"/>
          </w:rPr>
          <w:instrText xml:space="preserve"> PAGE   \* MERGEFORMAT </w:instrText>
        </w:r>
        <w:r w:rsidRPr="008605F3">
          <w:rPr>
            <w:rFonts w:ascii="Times New Roman" w:hAnsi="Times New Roman" w:cs="Times New Roman"/>
            <w:sz w:val="24"/>
            <w:szCs w:val="24"/>
          </w:rPr>
          <w:fldChar w:fldCharType="separate"/>
        </w:r>
        <w:r w:rsidR="005323FC">
          <w:rPr>
            <w:rFonts w:ascii="Times New Roman" w:hAnsi="Times New Roman" w:cs="Times New Roman"/>
            <w:noProof/>
            <w:sz w:val="24"/>
            <w:szCs w:val="24"/>
          </w:rPr>
          <w:t>6</w:t>
        </w:r>
        <w:r w:rsidRPr="008605F3">
          <w:rPr>
            <w:rFonts w:ascii="Times New Roman" w:hAnsi="Times New Roman" w:cs="Times New Roman"/>
            <w:noProof/>
            <w:sz w:val="24"/>
            <w:szCs w:val="24"/>
          </w:rPr>
          <w:fldChar w:fldCharType="end"/>
        </w:r>
      </w:p>
    </w:sdtContent>
  </w:sdt>
  <w:p w:rsidR="008605F3" w:rsidRPr="008605F3" w:rsidRDefault="008605F3">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6CD"/>
    <w:rsid w:val="000856CD"/>
    <w:rsid w:val="001F60B0"/>
    <w:rsid w:val="0024498B"/>
    <w:rsid w:val="002B3BCE"/>
    <w:rsid w:val="005323FC"/>
    <w:rsid w:val="00592634"/>
    <w:rsid w:val="005E041B"/>
    <w:rsid w:val="0062555A"/>
    <w:rsid w:val="00626792"/>
    <w:rsid w:val="00680ED9"/>
    <w:rsid w:val="006C0E70"/>
    <w:rsid w:val="00784CE8"/>
    <w:rsid w:val="0082363C"/>
    <w:rsid w:val="008403B1"/>
    <w:rsid w:val="008605F3"/>
    <w:rsid w:val="00863DC5"/>
    <w:rsid w:val="00873092"/>
    <w:rsid w:val="008C779D"/>
    <w:rsid w:val="008D400A"/>
    <w:rsid w:val="008F0F94"/>
    <w:rsid w:val="0092592E"/>
    <w:rsid w:val="00955932"/>
    <w:rsid w:val="00C13388"/>
    <w:rsid w:val="00D057E9"/>
    <w:rsid w:val="00D6225F"/>
    <w:rsid w:val="00DC1F5C"/>
    <w:rsid w:val="00DE14B0"/>
    <w:rsid w:val="00DE728F"/>
    <w:rsid w:val="00DF10EE"/>
    <w:rsid w:val="00EE4F68"/>
    <w:rsid w:val="00F47E65"/>
    <w:rsid w:val="00F770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F37ADD-74AC-43DD-93B5-E55AD1A3F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05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05F3"/>
  </w:style>
  <w:style w:type="paragraph" w:styleId="Footer">
    <w:name w:val="footer"/>
    <w:basedOn w:val="Normal"/>
    <w:link w:val="FooterChar"/>
    <w:uiPriority w:val="99"/>
    <w:unhideWhenUsed/>
    <w:rsid w:val="008605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05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mp"/><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863</Words>
  <Characters>4922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2</cp:revision>
  <dcterms:created xsi:type="dcterms:W3CDTF">2021-08-23T06:24:00Z</dcterms:created>
  <dcterms:modified xsi:type="dcterms:W3CDTF">2021-08-23T06:24:00Z</dcterms:modified>
</cp:coreProperties>
</file>